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91" w:rsidRPr="00D43791" w:rsidRDefault="00D43791" w:rsidP="00D43791">
      <w:pPr>
        <w:pBdr>
          <w:bottom w:val="single" w:sz="6" w:space="1" w:color="auto"/>
        </w:pBdr>
        <w:spacing w:after="0" w:line="240" w:lineRule="auto"/>
        <w:jc w:val="center"/>
        <w:rPr>
          <w:rFonts w:ascii="Arial" w:eastAsia="Times New Roman" w:hAnsi="Arial" w:cs="Arial"/>
          <w:vanish/>
          <w:sz w:val="16"/>
          <w:szCs w:val="16"/>
          <w:lang w:eastAsia="nl-NL"/>
        </w:rPr>
      </w:pPr>
      <w:r w:rsidRPr="00D43791">
        <w:rPr>
          <w:rFonts w:ascii="Arial" w:eastAsia="Times New Roman" w:hAnsi="Arial" w:cs="Arial"/>
          <w:vanish/>
          <w:sz w:val="16"/>
          <w:szCs w:val="16"/>
          <w:lang w:eastAsia="nl-NL"/>
        </w:rPr>
        <w:t>Bovenkant formulier</w:t>
      </w:r>
    </w:p>
    <w:p w:rsidR="00D43791" w:rsidRPr="00D43791" w:rsidRDefault="00D43791" w:rsidP="00D43791">
      <w:pPr>
        <w:pBdr>
          <w:top w:val="single" w:sz="6" w:space="1" w:color="auto"/>
        </w:pBdr>
        <w:spacing w:after="0" w:line="240" w:lineRule="auto"/>
        <w:jc w:val="center"/>
        <w:rPr>
          <w:rFonts w:ascii="Arial" w:eastAsia="Times New Roman" w:hAnsi="Arial" w:cs="Arial"/>
          <w:vanish/>
          <w:sz w:val="16"/>
          <w:szCs w:val="16"/>
          <w:lang w:eastAsia="nl-NL"/>
        </w:rPr>
      </w:pPr>
      <w:r w:rsidRPr="00D43791">
        <w:rPr>
          <w:rFonts w:ascii="Arial" w:eastAsia="Times New Roman" w:hAnsi="Arial" w:cs="Arial"/>
          <w:vanish/>
          <w:sz w:val="16"/>
          <w:szCs w:val="16"/>
          <w:lang w:eastAsia="nl-NL"/>
        </w:rPr>
        <w:t>Onderkant formulier</w:t>
      </w:r>
    </w:p>
    <w:tbl>
      <w:tblPr>
        <w:tblW w:w="8320" w:type="dxa"/>
        <w:shd w:val="clear" w:color="auto" w:fill="FFFFFF"/>
        <w:tblCellMar>
          <w:top w:w="15" w:type="dxa"/>
          <w:left w:w="15" w:type="dxa"/>
          <w:bottom w:w="15" w:type="dxa"/>
          <w:right w:w="15" w:type="dxa"/>
        </w:tblCellMar>
        <w:tblLook w:val="04A0"/>
      </w:tblPr>
      <w:tblGrid>
        <w:gridCol w:w="8320"/>
      </w:tblGrid>
      <w:tr w:rsidR="00D43791" w:rsidRPr="00D43791" w:rsidTr="00D43791">
        <w:tc>
          <w:tcPr>
            <w:tcW w:w="8000" w:type="dxa"/>
            <w:tcBorders>
              <w:bottom w:val="single" w:sz="8" w:space="0" w:color="E9ECEF"/>
            </w:tcBorders>
            <w:shd w:val="clear" w:color="auto" w:fill="FFFFFF"/>
            <w:vAlign w:val="bottom"/>
            <w:hideMark/>
          </w:tcPr>
          <w:p w:rsidR="00D43791" w:rsidRPr="00D43791" w:rsidRDefault="00D43791" w:rsidP="007E2A5F">
            <w:pPr>
              <w:spacing w:after="0" w:line="240" w:lineRule="auto"/>
              <w:jc w:val="center"/>
              <w:rPr>
                <w:rFonts w:eastAsia="Times New Roman" w:cstheme="minorHAnsi"/>
                <w:b/>
                <w:sz w:val="24"/>
                <w:szCs w:val="24"/>
                <w:u w:val="single"/>
                <w:lang w:eastAsia="nl-NL"/>
              </w:rPr>
            </w:pPr>
            <w:r w:rsidRPr="00D43791">
              <w:rPr>
                <w:rFonts w:eastAsia="Times New Roman" w:cstheme="minorHAnsi"/>
                <w:b/>
                <w:sz w:val="24"/>
                <w:szCs w:val="24"/>
                <w:u w:val="single"/>
                <w:lang w:eastAsia="nl-NL"/>
              </w:rPr>
              <w:t xml:space="preserve">Toelichting bij </w:t>
            </w:r>
            <w:r w:rsidR="007E2A5F">
              <w:rPr>
                <w:rFonts w:eastAsia="Times New Roman" w:cstheme="minorHAnsi"/>
                <w:b/>
                <w:sz w:val="24"/>
                <w:szCs w:val="24"/>
                <w:u w:val="single"/>
                <w:lang w:eastAsia="nl-NL"/>
              </w:rPr>
              <w:t>de Jaarrekening over 2020</w:t>
            </w:r>
          </w:p>
        </w:tc>
      </w:tr>
    </w:tbl>
    <w:p w:rsidR="00D43791" w:rsidRPr="00D43791" w:rsidRDefault="00D43791" w:rsidP="00D43791">
      <w:pPr>
        <w:shd w:val="clear" w:color="auto" w:fill="FFFFFF"/>
        <w:spacing w:after="0" w:line="240" w:lineRule="auto"/>
        <w:rPr>
          <w:rFonts w:ascii="Arial" w:eastAsia="Times New Roman" w:hAnsi="Arial" w:cs="Arial"/>
          <w:vanish/>
          <w:color w:val="333333"/>
          <w:sz w:val="14"/>
          <w:szCs w:val="14"/>
          <w:lang w:eastAsia="nl-NL"/>
        </w:rPr>
      </w:pPr>
    </w:p>
    <w:tbl>
      <w:tblPr>
        <w:tblW w:w="0" w:type="auto"/>
        <w:tblCellMar>
          <w:top w:w="15" w:type="dxa"/>
          <w:left w:w="15" w:type="dxa"/>
          <w:bottom w:w="15" w:type="dxa"/>
          <w:right w:w="15" w:type="dxa"/>
        </w:tblCellMar>
        <w:tblLook w:val="04A0"/>
      </w:tblPr>
      <w:tblGrid>
        <w:gridCol w:w="8000"/>
      </w:tblGrid>
      <w:tr w:rsidR="00D43791" w:rsidRPr="00D43791" w:rsidTr="00D43791">
        <w:tc>
          <w:tcPr>
            <w:tcW w:w="8000" w:type="dxa"/>
            <w:tcBorders>
              <w:top w:val="nil"/>
              <w:left w:val="nil"/>
              <w:bottom w:val="nil"/>
              <w:right w:val="nil"/>
            </w:tcBorders>
            <w:hideMark/>
          </w:tcPr>
          <w:p w:rsidR="00D43791" w:rsidRPr="00D43791" w:rsidRDefault="00D43791" w:rsidP="00D43791">
            <w:pPr>
              <w:spacing w:after="100" w:afterAutospacing="1" w:line="240" w:lineRule="auto"/>
              <w:rPr>
                <w:rFonts w:eastAsia="Times New Roman" w:cstheme="minorHAnsi"/>
                <w:color w:val="212529"/>
                <w:lang w:eastAsia="nl-NL"/>
              </w:rPr>
            </w:pPr>
            <w:r w:rsidRPr="00D43791">
              <w:rPr>
                <w:rFonts w:eastAsia="Times New Roman" w:cstheme="minorHAnsi"/>
                <w:b/>
                <w:bCs/>
                <w:color w:val="212529"/>
                <w:u w:val="single"/>
                <w:lang w:eastAsia="nl-NL"/>
              </w:rPr>
              <w:t>Daling inkomsten:</w:t>
            </w:r>
            <w:r w:rsidRPr="00D43791">
              <w:rPr>
                <w:rFonts w:eastAsia="Times New Roman" w:cstheme="minorHAnsi"/>
                <w:b/>
                <w:bCs/>
                <w:color w:val="212529"/>
                <w:lang w:eastAsia="nl-NL"/>
              </w:rPr>
              <w:t>   De Corona pandemie ontstaan in 2020  veroorzaakte een flinke inkomstendaling  van Levend Geld, mede door het wegvallen van collecten in kerkdiensten, wat onvoldoende gecompenseerd werd door giften.  Wel kon dit jaar ook flink op de kosten bespaard worden.  Verder was er een stijging ven de baten van subsidie van Monumentenzorg , waardoor het uiteindelijke operationele resultaat meegevallen is.   De komende jaren staan echter, door de noodzaak van het op peil houden van de staat van ons monumentale kerkgebouw ter behoud van de subsidie, enkele grotere onderhoudsposten in de planning.</w:t>
            </w:r>
          </w:p>
          <w:p w:rsidR="00D43791" w:rsidRDefault="00D43791" w:rsidP="00D43791">
            <w:pPr>
              <w:spacing w:after="100" w:afterAutospacing="1" w:line="240" w:lineRule="auto"/>
              <w:rPr>
                <w:rFonts w:eastAsia="Times New Roman" w:cstheme="minorHAnsi"/>
                <w:b/>
                <w:bCs/>
                <w:color w:val="212529"/>
                <w:lang w:eastAsia="nl-NL"/>
              </w:rPr>
            </w:pPr>
            <w:r w:rsidRPr="00D43791">
              <w:rPr>
                <w:rFonts w:eastAsia="Times New Roman" w:cstheme="minorHAnsi"/>
                <w:b/>
                <w:bCs/>
                <w:color w:val="212529"/>
                <w:u w:val="single"/>
                <w:lang w:eastAsia="nl-NL"/>
              </w:rPr>
              <w:t>Wijziging in de waardering van de activa:</w:t>
            </w:r>
            <w:r w:rsidRPr="00D43791">
              <w:rPr>
                <w:rFonts w:eastAsia="Times New Roman" w:cstheme="minorHAnsi"/>
                <w:b/>
                <w:bCs/>
                <w:color w:val="212529"/>
                <w:lang w:eastAsia="nl-NL"/>
              </w:rPr>
              <w:t xml:space="preserve">    In afwijking met de gebruikelijke waardering in voorgaande jaren zijn in het verslagjaar de waarderingen van de pastorie en de kerkelijke gebouwen De Hoeksteen en De Schakel </w:t>
            </w:r>
            <w:proofErr w:type="spellStart"/>
            <w:r w:rsidRPr="00D43791">
              <w:rPr>
                <w:rFonts w:eastAsia="Times New Roman" w:cstheme="minorHAnsi"/>
                <w:b/>
                <w:bCs/>
                <w:color w:val="212529"/>
                <w:lang w:eastAsia="nl-NL"/>
              </w:rPr>
              <w:t>konform</w:t>
            </w:r>
            <w:proofErr w:type="spellEnd"/>
            <w:r w:rsidRPr="00D43791">
              <w:rPr>
                <w:rFonts w:eastAsia="Times New Roman" w:cstheme="minorHAnsi"/>
                <w:b/>
                <w:bCs/>
                <w:color w:val="212529"/>
                <w:lang w:eastAsia="nl-NL"/>
              </w:rPr>
              <w:t xml:space="preserve"> de richtlijnen van de CCBB , gewijzigd naar de waarderingen volgens de </w:t>
            </w:r>
            <w:proofErr w:type="spellStart"/>
            <w:r w:rsidRPr="00D43791">
              <w:rPr>
                <w:rFonts w:eastAsia="Times New Roman" w:cstheme="minorHAnsi"/>
                <w:b/>
                <w:bCs/>
                <w:color w:val="212529"/>
                <w:lang w:eastAsia="nl-NL"/>
              </w:rPr>
              <w:t>WOZ-waarden</w:t>
            </w:r>
            <w:proofErr w:type="spellEnd"/>
            <w:r w:rsidRPr="00D43791">
              <w:rPr>
                <w:rFonts w:eastAsia="Times New Roman" w:cstheme="minorHAnsi"/>
                <w:b/>
                <w:bCs/>
                <w:color w:val="212529"/>
                <w:lang w:eastAsia="nl-NL"/>
              </w:rPr>
              <w:t xml:space="preserve"> zoals deze zijn vastgesteld per 1-1-2020.  De ontstane verschillen zijn gemuteerd op de rekening Herwaarderingsreserve.  De boekwaarde van het kerkgebouw werd evenals in voorgaande jaren  €  1  aangehouden, terwijl ook het monumentale </w:t>
            </w:r>
            <w:proofErr w:type="spellStart"/>
            <w:r w:rsidRPr="00D43791">
              <w:rPr>
                <w:rFonts w:eastAsia="Times New Roman" w:cstheme="minorHAnsi"/>
                <w:b/>
                <w:bCs/>
                <w:color w:val="212529"/>
                <w:lang w:eastAsia="nl-NL"/>
              </w:rPr>
              <w:t>Bätz-orgel</w:t>
            </w:r>
            <w:proofErr w:type="spellEnd"/>
            <w:r w:rsidRPr="00D43791">
              <w:rPr>
                <w:rFonts w:eastAsia="Times New Roman" w:cstheme="minorHAnsi"/>
                <w:b/>
                <w:bCs/>
                <w:color w:val="212529"/>
                <w:lang w:eastAsia="nl-NL"/>
              </w:rPr>
              <w:t>, in tegenstelling tot voorgaande jaren is gewaardeerd op € 1</w:t>
            </w:r>
            <w:r>
              <w:rPr>
                <w:rFonts w:eastAsia="Times New Roman" w:cstheme="minorHAnsi"/>
                <w:b/>
                <w:bCs/>
                <w:color w:val="212529"/>
                <w:lang w:eastAsia="nl-NL"/>
              </w:rPr>
              <w:t>.</w:t>
            </w:r>
          </w:p>
          <w:p w:rsidR="00D43791" w:rsidRPr="00D43791" w:rsidRDefault="00D43791" w:rsidP="00D43791">
            <w:pPr>
              <w:spacing w:after="100" w:afterAutospacing="1" w:line="240" w:lineRule="auto"/>
              <w:rPr>
                <w:rFonts w:eastAsia="Times New Roman" w:cstheme="minorHAnsi"/>
                <w:color w:val="212529"/>
                <w:lang w:eastAsia="nl-NL"/>
              </w:rPr>
            </w:pPr>
            <w:r w:rsidRPr="00D43791">
              <w:rPr>
                <w:rFonts w:eastAsia="Times New Roman" w:cstheme="minorHAnsi"/>
                <w:b/>
                <w:bCs/>
                <w:color w:val="212529"/>
                <w:u w:val="single"/>
                <w:lang w:eastAsia="nl-NL"/>
              </w:rPr>
              <w:t>Verzekerde waarden Gebouwen</w:t>
            </w:r>
            <w:r w:rsidRPr="00D43791">
              <w:rPr>
                <w:rFonts w:eastAsia="Times New Roman" w:cstheme="minorHAnsi"/>
                <w:b/>
                <w:bCs/>
                <w:color w:val="212529"/>
                <w:lang w:eastAsia="nl-NL"/>
              </w:rPr>
              <w:t xml:space="preserve">      De laatste taxatie van de Gebouwen dateert van mei 2006.  Na overleg heeft </w:t>
            </w:r>
            <w:proofErr w:type="spellStart"/>
            <w:r w:rsidRPr="00D43791">
              <w:rPr>
                <w:rFonts w:eastAsia="Times New Roman" w:cstheme="minorHAnsi"/>
                <w:b/>
                <w:bCs/>
                <w:color w:val="212529"/>
                <w:lang w:eastAsia="nl-NL"/>
              </w:rPr>
              <w:t>Donatus</w:t>
            </w:r>
            <w:proofErr w:type="spellEnd"/>
            <w:r w:rsidRPr="00D43791">
              <w:rPr>
                <w:rFonts w:eastAsia="Times New Roman" w:cstheme="minorHAnsi"/>
                <w:b/>
                <w:bCs/>
                <w:color w:val="212529"/>
                <w:lang w:eastAsia="nl-NL"/>
              </w:rPr>
              <w:t xml:space="preserve"> aangegeven dat in 2021 een nieuwe taxatie zal plaatsvinden.  Hierbij is schriftelijk per mail aangegeven dat het risico van onderverzekering, zolang deze taxatie niet is gebeurd, automatisch is meeverzekerd. </w:t>
            </w:r>
          </w:p>
          <w:p w:rsidR="00D43791" w:rsidRDefault="00D43791" w:rsidP="00D43791">
            <w:pPr>
              <w:spacing w:after="100" w:afterAutospacing="1" w:line="240" w:lineRule="auto"/>
              <w:rPr>
                <w:rFonts w:eastAsia="Times New Roman" w:cstheme="minorHAnsi"/>
                <w:b/>
                <w:bCs/>
                <w:color w:val="212529"/>
                <w:lang w:eastAsia="nl-NL"/>
              </w:rPr>
            </w:pPr>
            <w:r w:rsidRPr="00D43791">
              <w:rPr>
                <w:rFonts w:eastAsia="Times New Roman" w:cstheme="minorHAnsi"/>
                <w:b/>
                <w:bCs/>
                <w:color w:val="212529"/>
                <w:u w:val="single"/>
                <w:lang w:eastAsia="nl-NL"/>
              </w:rPr>
              <w:t>Schenking Obligatielening</w:t>
            </w:r>
            <w:r w:rsidRPr="00D43791">
              <w:rPr>
                <w:rFonts w:eastAsia="Times New Roman" w:cstheme="minorHAnsi"/>
                <w:b/>
                <w:bCs/>
                <w:color w:val="212529"/>
                <w:lang w:eastAsia="nl-NL"/>
              </w:rPr>
              <w:t>    Het restant van de nog openstaande Obligatielening ad €  5.000 is door de houder geschonken met de wens dit te besteden aan de vernieuwing van stencilmachine en printer op het kerkelijk bureau. Ook deze mutatie gebeurde net voor de jaarwisseling.  De gewenste besteding heeft in 2021 plaatsgevonden,</w:t>
            </w:r>
          </w:p>
          <w:p w:rsidR="00D43791" w:rsidRDefault="00D43791" w:rsidP="00D43791">
            <w:pPr>
              <w:spacing w:after="100" w:afterAutospacing="1" w:line="240" w:lineRule="auto"/>
              <w:rPr>
                <w:rFonts w:eastAsia="Times New Roman" w:cstheme="minorHAnsi"/>
                <w:b/>
                <w:bCs/>
                <w:color w:val="212529"/>
                <w:lang w:eastAsia="nl-NL"/>
              </w:rPr>
            </w:pPr>
            <w:r w:rsidRPr="00D43791">
              <w:rPr>
                <w:rFonts w:eastAsia="Times New Roman" w:cstheme="minorHAnsi"/>
                <w:b/>
                <w:bCs/>
                <w:color w:val="212529"/>
                <w:lang w:eastAsia="nl-NL"/>
              </w:rPr>
              <w:t>.</w:t>
            </w:r>
          </w:p>
          <w:p w:rsidR="00D43791" w:rsidRPr="00D43791" w:rsidRDefault="00D43791" w:rsidP="00D43791">
            <w:pPr>
              <w:spacing w:after="100" w:afterAutospacing="1" w:line="240" w:lineRule="auto"/>
              <w:rPr>
                <w:rFonts w:eastAsia="Times New Roman" w:cstheme="minorHAnsi"/>
                <w:color w:val="212529"/>
                <w:lang w:eastAsia="nl-NL"/>
              </w:rPr>
            </w:pPr>
          </w:p>
        </w:tc>
      </w:tr>
    </w:tbl>
    <w:p w:rsidR="00D43791" w:rsidRPr="00D43791" w:rsidRDefault="00D43791" w:rsidP="00D43791">
      <w:pPr>
        <w:pBdr>
          <w:bottom w:val="single" w:sz="6" w:space="1" w:color="auto"/>
        </w:pBdr>
        <w:spacing w:after="0" w:line="240" w:lineRule="auto"/>
        <w:jc w:val="center"/>
        <w:rPr>
          <w:rFonts w:eastAsia="Times New Roman" w:cstheme="minorHAnsi"/>
          <w:vanish/>
          <w:lang w:eastAsia="nl-NL"/>
        </w:rPr>
      </w:pPr>
      <w:r w:rsidRPr="00D43791">
        <w:rPr>
          <w:rFonts w:eastAsia="Times New Roman" w:cstheme="minorHAnsi"/>
          <w:vanish/>
          <w:lang w:eastAsia="nl-NL"/>
        </w:rPr>
        <w:t>Bovenkant formulier</w:t>
      </w:r>
    </w:p>
    <w:p w:rsidR="00D43791" w:rsidRPr="00D43791" w:rsidRDefault="00D43791" w:rsidP="00D43791">
      <w:pPr>
        <w:pBdr>
          <w:top w:val="single" w:sz="6" w:space="1" w:color="auto"/>
        </w:pBdr>
        <w:spacing w:after="0" w:line="240" w:lineRule="auto"/>
        <w:jc w:val="center"/>
        <w:rPr>
          <w:rFonts w:eastAsia="Times New Roman" w:cstheme="minorHAnsi"/>
          <w:vanish/>
          <w:lang w:eastAsia="nl-NL"/>
        </w:rPr>
      </w:pPr>
      <w:r w:rsidRPr="00D43791">
        <w:rPr>
          <w:rFonts w:eastAsia="Times New Roman" w:cstheme="minorHAnsi"/>
          <w:vanish/>
          <w:lang w:eastAsia="nl-NL"/>
        </w:rPr>
        <w:t>Onderkant formulier</w:t>
      </w:r>
    </w:p>
    <w:tbl>
      <w:tblPr>
        <w:tblW w:w="8320" w:type="dxa"/>
        <w:shd w:val="clear" w:color="auto" w:fill="FFFFFF"/>
        <w:tblCellMar>
          <w:top w:w="15" w:type="dxa"/>
          <w:left w:w="15" w:type="dxa"/>
          <w:bottom w:w="15" w:type="dxa"/>
          <w:right w:w="15" w:type="dxa"/>
        </w:tblCellMar>
        <w:tblLook w:val="04A0"/>
      </w:tblPr>
      <w:tblGrid>
        <w:gridCol w:w="8320"/>
      </w:tblGrid>
      <w:tr w:rsidR="00D43791" w:rsidRPr="00D43791" w:rsidTr="00D43791">
        <w:tc>
          <w:tcPr>
            <w:tcW w:w="8000" w:type="dxa"/>
            <w:tcBorders>
              <w:bottom w:val="single" w:sz="8" w:space="0" w:color="E9ECEF"/>
            </w:tcBorders>
            <w:shd w:val="clear" w:color="auto" w:fill="FFFFFF"/>
            <w:vAlign w:val="bottom"/>
            <w:hideMark/>
          </w:tcPr>
          <w:p w:rsidR="00D43791" w:rsidRPr="00D43791" w:rsidRDefault="00D43791" w:rsidP="00D43791">
            <w:pPr>
              <w:spacing w:after="0" w:line="240" w:lineRule="auto"/>
              <w:rPr>
                <w:rFonts w:eastAsia="Times New Roman" w:cstheme="minorHAnsi"/>
                <w:lang w:eastAsia="nl-NL"/>
              </w:rPr>
            </w:pPr>
          </w:p>
        </w:tc>
      </w:tr>
    </w:tbl>
    <w:p w:rsidR="00D43791" w:rsidRPr="00D43791" w:rsidRDefault="00D43791" w:rsidP="00D43791">
      <w:pPr>
        <w:spacing w:after="0" w:line="240" w:lineRule="auto"/>
        <w:rPr>
          <w:rFonts w:eastAsia="Times New Roman" w:cstheme="minorHAnsi"/>
          <w:vanish/>
          <w:lang w:eastAsia="nl-NL"/>
        </w:rPr>
      </w:pPr>
    </w:p>
    <w:tbl>
      <w:tblPr>
        <w:tblW w:w="0" w:type="auto"/>
        <w:tblCellMar>
          <w:top w:w="15" w:type="dxa"/>
          <w:left w:w="15" w:type="dxa"/>
          <w:bottom w:w="15" w:type="dxa"/>
          <w:right w:w="15" w:type="dxa"/>
        </w:tblCellMar>
        <w:tblLook w:val="04A0"/>
      </w:tblPr>
      <w:tblGrid>
        <w:gridCol w:w="8000"/>
      </w:tblGrid>
      <w:tr w:rsidR="00D43791" w:rsidRPr="00D43791" w:rsidTr="00D43791">
        <w:tc>
          <w:tcPr>
            <w:tcW w:w="8000" w:type="dxa"/>
            <w:tcBorders>
              <w:top w:val="nil"/>
              <w:left w:val="nil"/>
              <w:bottom w:val="nil"/>
              <w:right w:val="nil"/>
            </w:tcBorders>
            <w:hideMark/>
          </w:tcPr>
          <w:p w:rsidR="00D43791" w:rsidRPr="00D43791" w:rsidRDefault="00D43791" w:rsidP="00D43791">
            <w:pPr>
              <w:spacing w:after="100" w:afterAutospacing="1" w:line="240" w:lineRule="auto"/>
              <w:rPr>
                <w:rFonts w:eastAsia="Times New Roman" w:cstheme="minorHAnsi"/>
                <w:color w:val="212529"/>
                <w:lang w:eastAsia="nl-NL"/>
              </w:rPr>
            </w:pPr>
            <w:r w:rsidRPr="00D43791">
              <w:rPr>
                <w:rFonts w:eastAsia="Times New Roman" w:cstheme="minorHAnsi"/>
                <w:b/>
                <w:bCs/>
                <w:color w:val="212529"/>
                <w:lang w:eastAsia="nl-NL"/>
              </w:rPr>
              <w:t> </w:t>
            </w:r>
          </w:p>
          <w:p w:rsidR="00D43791" w:rsidRPr="00D43791" w:rsidRDefault="00D43791" w:rsidP="00D43791">
            <w:pPr>
              <w:spacing w:after="100" w:afterAutospacing="1" w:line="240" w:lineRule="auto"/>
              <w:rPr>
                <w:rFonts w:eastAsia="Times New Roman" w:cstheme="minorHAnsi"/>
                <w:color w:val="212529"/>
                <w:lang w:eastAsia="nl-NL"/>
              </w:rPr>
            </w:pPr>
          </w:p>
        </w:tc>
      </w:tr>
    </w:tbl>
    <w:p w:rsidR="00E13BBF" w:rsidRPr="00D43791" w:rsidRDefault="00E13BBF">
      <w:pPr>
        <w:rPr>
          <w:rFonts w:ascii="Times New Roman" w:hAnsi="Times New Roman" w:cs="Times New Roman"/>
        </w:rPr>
      </w:pPr>
    </w:p>
    <w:sectPr w:rsidR="00E13BBF" w:rsidRPr="00D43791" w:rsidSect="00E13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3791"/>
    <w:rsid w:val="007E2A5F"/>
    <w:rsid w:val="00D43791"/>
    <w:rsid w:val="00E13B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3BBF"/>
  </w:style>
  <w:style w:type="paragraph" w:styleId="Kop1">
    <w:name w:val="heading 1"/>
    <w:basedOn w:val="Standaard"/>
    <w:link w:val="Kop1Char"/>
    <w:uiPriority w:val="9"/>
    <w:qFormat/>
    <w:rsid w:val="00D43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791"/>
    <w:rPr>
      <w:rFonts w:ascii="Times New Roman" w:eastAsia="Times New Roman" w:hAnsi="Times New Roman" w:cs="Times New Roman"/>
      <w:b/>
      <w:bCs/>
      <w:kern w:val="36"/>
      <w:sz w:val="48"/>
      <w:szCs w:val="48"/>
      <w:lang w:eastAsia="nl-NL"/>
    </w:rPr>
  </w:style>
  <w:style w:type="paragraph" w:styleId="Bovenkantformulier">
    <w:name w:val="HTML Top of Form"/>
    <w:basedOn w:val="Standaard"/>
    <w:next w:val="Standaard"/>
    <w:link w:val="BovenkantformulierChar"/>
    <w:hidden/>
    <w:uiPriority w:val="99"/>
    <w:semiHidden/>
    <w:unhideWhenUsed/>
    <w:rsid w:val="00D4379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4379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4379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43791"/>
    <w:rPr>
      <w:rFonts w:ascii="Arial" w:eastAsia="Times New Roman" w:hAnsi="Arial" w:cs="Arial"/>
      <w:vanish/>
      <w:sz w:val="16"/>
      <w:szCs w:val="16"/>
      <w:lang w:eastAsia="nl-NL"/>
    </w:rPr>
  </w:style>
  <w:style w:type="paragraph" w:styleId="Normaalweb">
    <w:name w:val="Normal (Web)"/>
    <w:basedOn w:val="Standaard"/>
    <w:uiPriority w:val="99"/>
    <w:unhideWhenUsed/>
    <w:rsid w:val="00D437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43791"/>
    <w:rPr>
      <w:b/>
      <w:bCs/>
    </w:rPr>
  </w:style>
</w:styles>
</file>

<file path=word/webSettings.xml><?xml version="1.0" encoding="utf-8"?>
<w:webSettings xmlns:r="http://schemas.openxmlformats.org/officeDocument/2006/relationships" xmlns:w="http://schemas.openxmlformats.org/wordprocessingml/2006/main">
  <w:divs>
    <w:div w:id="1023946418">
      <w:bodyDiv w:val="1"/>
      <w:marLeft w:val="0"/>
      <w:marRight w:val="0"/>
      <w:marTop w:val="0"/>
      <w:marBottom w:val="0"/>
      <w:divBdr>
        <w:top w:val="none" w:sz="0" w:space="0" w:color="auto"/>
        <w:left w:val="none" w:sz="0" w:space="0" w:color="auto"/>
        <w:bottom w:val="none" w:sz="0" w:space="0" w:color="auto"/>
        <w:right w:val="none" w:sz="0" w:space="0" w:color="auto"/>
      </w:divBdr>
      <w:divsChild>
        <w:div w:id="67073403">
          <w:marLeft w:val="0"/>
          <w:marRight w:val="0"/>
          <w:marTop w:val="0"/>
          <w:marBottom w:val="0"/>
          <w:divBdr>
            <w:top w:val="none" w:sz="0" w:space="0" w:color="auto"/>
            <w:left w:val="none" w:sz="0" w:space="0" w:color="auto"/>
            <w:bottom w:val="none" w:sz="0" w:space="0" w:color="auto"/>
            <w:right w:val="none" w:sz="0" w:space="0" w:color="auto"/>
          </w:divBdr>
          <w:divsChild>
            <w:div w:id="480461292">
              <w:marLeft w:val="0"/>
              <w:marRight w:val="0"/>
              <w:marTop w:val="0"/>
              <w:marBottom w:val="0"/>
              <w:divBdr>
                <w:top w:val="none" w:sz="0" w:space="0" w:color="auto"/>
                <w:left w:val="none" w:sz="0" w:space="0" w:color="auto"/>
                <w:bottom w:val="none" w:sz="0" w:space="0" w:color="auto"/>
                <w:right w:val="none" w:sz="0" w:space="0" w:color="auto"/>
              </w:divBdr>
              <w:divsChild>
                <w:div w:id="883562829">
                  <w:marLeft w:val="0"/>
                  <w:marRight w:val="0"/>
                  <w:marTop w:val="0"/>
                  <w:marBottom w:val="0"/>
                  <w:divBdr>
                    <w:top w:val="none" w:sz="0" w:space="0" w:color="auto"/>
                    <w:left w:val="none" w:sz="0" w:space="0" w:color="auto"/>
                    <w:bottom w:val="none" w:sz="0" w:space="0" w:color="auto"/>
                    <w:right w:val="none" w:sz="0" w:space="0" w:color="auto"/>
                  </w:divBdr>
                  <w:divsChild>
                    <w:div w:id="6721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3749">
          <w:marLeft w:val="0"/>
          <w:marRight w:val="0"/>
          <w:marTop w:val="0"/>
          <w:marBottom w:val="0"/>
          <w:divBdr>
            <w:top w:val="none" w:sz="0" w:space="0" w:color="auto"/>
            <w:left w:val="none" w:sz="0" w:space="0" w:color="auto"/>
            <w:bottom w:val="none" w:sz="0" w:space="0" w:color="auto"/>
            <w:right w:val="none" w:sz="0" w:space="0" w:color="auto"/>
          </w:divBdr>
          <w:divsChild>
            <w:div w:id="712190473">
              <w:marLeft w:val="0"/>
              <w:marRight w:val="0"/>
              <w:marTop w:val="0"/>
              <w:marBottom w:val="0"/>
              <w:divBdr>
                <w:top w:val="none" w:sz="0" w:space="0" w:color="auto"/>
                <w:left w:val="none" w:sz="0" w:space="0" w:color="auto"/>
                <w:bottom w:val="none" w:sz="0" w:space="0" w:color="auto"/>
                <w:right w:val="none" w:sz="0" w:space="0" w:color="auto"/>
              </w:divBdr>
              <w:divsChild>
                <w:div w:id="1714428137">
                  <w:marLeft w:val="0"/>
                  <w:marRight w:val="0"/>
                  <w:marTop w:val="0"/>
                  <w:marBottom w:val="0"/>
                  <w:divBdr>
                    <w:top w:val="none" w:sz="0" w:space="0" w:color="auto"/>
                    <w:left w:val="none" w:sz="0" w:space="0" w:color="auto"/>
                    <w:bottom w:val="none" w:sz="0" w:space="0" w:color="auto"/>
                    <w:right w:val="none" w:sz="0" w:space="0" w:color="auto"/>
                  </w:divBdr>
                  <w:divsChild>
                    <w:div w:id="1994605979">
                      <w:marLeft w:val="0"/>
                      <w:marRight w:val="0"/>
                      <w:marTop w:val="0"/>
                      <w:marBottom w:val="0"/>
                      <w:divBdr>
                        <w:top w:val="none" w:sz="0" w:space="0" w:color="auto"/>
                        <w:left w:val="none" w:sz="0" w:space="0" w:color="auto"/>
                        <w:bottom w:val="none" w:sz="0" w:space="0" w:color="auto"/>
                        <w:right w:val="none" w:sz="0" w:space="0" w:color="auto"/>
                      </w:divBdr>
                      <w:divsChild>
                        <w:div w:id="723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85057">
      <w:bodyDiv w:val="1"/>
      <w:marLeft w:val="0"/>
      <w:marRight w:val="0"/>
      <w:marTop w:val="0"/>
      <w:marBottom w:val="0"/>
      <w:divBdr>
        <w:top w:val="none" w:sz="0" w:space="0" w:color="auto"/>
        <w:left w:val="none" w:sz="0" w:space="0" w:color="auto"/>
        <w:bottom w:val="none" w:sz="0" w:space="0" w:color="auto"/>
        <w:right w:val="none" w:sz="0" w:space="0" w:color="auto"/>
      </w:divBdr>
      <w:divsChild>
        <w:div w:id="627902829">
          <w:marLeft w:val="0"/>
          <w:marRight w:val="0"/>
          <w:marTop w:val="0"/>
          <w:marBottom w:val="0"/>
          <w:divBdr>
            <w:top w:val="none" w:sz="0" w:space="0" w:color="auto"/>
            <w:left w:val="none" w:sz="0" w:space="0" w:color="auto"/>
            <w:bottom w:val="none" w:sz="0" w:space="0" w:color="auto"/>
            <w:right w:val="none" w:sz="0" w:space="0" w:color="auto"/>
          </w:divBdr>
          <w:divsChild>
            <w:div w:id="1329091084">
              <w:marLeft w:val="0"/>
              <w:marRight w:val="0"/>
              <w:marTop w:val="0"/>
              <w:marBottom w:val="0"/>
              <w:divBdr>
                <w:top w:val="none" w:sz="0" w:space="0" w:color="auto"/>
                <w:left w:val="none" w:sz="0" w:space="0" w:color="auto"/>
                <w:bottom w:val="none" w:sz="0" w:space="0" w:color="auto"/>
                <w:right w:val="none" w:sz="0" w:space="0" w:color="auto"/>
              </w:divBdr>
              <w:divsChild>
                <w:div w:id="19390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628">
          <w:marLeft w:val="0"/>
          <w:marRight w:val="0"/>
          <w:marTop w:val="0"/>
          <w:marBottom w:val="0"/>
          <w:divBdr>
            <w:top w:val="none" w:sz="0" w:space="0" w:color="auto"/>
            <w:left w:val="none" w:sz="0" w:space="0" w:color="auto"/>
            <w:bottom w:val="none" w:sz="0" w:space="0" w:color="auto"/>
            <w:right w:val="none" w:sz="0" w:space="0" w:color="auto"/>
          </w:divBdr>
          <w:divsChild>
            <w:div w:id="2092463604">
              <w:marLeft w:val="0"/>
              <w:marRight w:val="0"/>
              <w:marTop w:val="0"/>
              <w:marBottom w:val="0"/>
              <w:divBdr>
                <w:top w:val="none" w:sz="0" w:space="0" w:color="auto"/>
                <w:left w:val="none" w:sz="0" w:space="0" w:color="auto"/>
                <w:bottom w:val="none" w:sz="0" w:space="0" w:color="auto"/>
                <w:right w:val="none" w:sz="0" w:space="0" w:color="auto"/>
              </w:divBdr>
              <w:divsChild>
                <w:div w:id="1080524325">
                  <w:marLeft w:val="0"/>
                  <w:marRight w:val="0"/>
                  <w:marTop w:val="0"/>
                  <w:marBottom w:val="0"/>
                  <w:divBdr>
                    <w:top w:val="none" w:sz="0" w:space="0" w:color="auto"/>
                    <w:left w:val="none" w:sz="0" w:space="0" w:color="auto"/>
                    <w:bottom w:val="none" w:sz="0" w:space="0" w:color="auto"/>
                    <w:right w:val="none" w:sz="0" w:space="0" w:color="auto"/>
                  </w:divBdr>
                  <w:divsChild>
                    <w:div w:id="8529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1708</Characters>
  <Application>Microsoft Office Word</Application>
  <DocSecurity>0</DocSecurity>
  <Lines>14</Lines>
  <Paragraphs>4</Paragraphs>
  <ScaleCrop>false</ScaleCrop>
  <Company>HP</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2021-07-01T12:05:00Z</dcterms:created>
  <dcterms:modified xsi:type="dcterms:W3CDTF">2021-07-01T12:19:00Z</dcterms:modified>
</cp:coreProperties>
</file>